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BayRadG (Bayern) — Inkrafttreten; Außerkrafttreten</w:t>
      </w:r>
    </w:p>
    <w:p>
      <w:r>
        <w:rPr>
          <w:color w:val="555555"/>
          <w:sz w:val="18"/>
        </w:rPr>
        <w:t xml:space="preserve">Bayerisches Radgesetz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August 2023 in Kraft.</w:t>
      </w:r>
    </w:p>
    <w:p>
      <w:r>
        <w:t xml:space="preserve">(2) Art. 13a tritt am 1. Februar 2024 außer Kraft.</w:t>
      </w:r>
    </w:p>
    <w:p>
      <w:r>
        <w:rPr>
          <w:color w:val="555555"/>
          <w:sz w:val="17"/>
        </w:rPr>
        <w:t xml:space="preserve">Zitiervorschlag: Art 14 BayRadG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https://recht.nulegal.eu/gesetze/BayRadG/14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