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13a BayRadG (Bayern) — Änderung weiterer Rechtsvorschriften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Bayerische Straßen- und Wegegesetz (BayStrWG) in der in der Bayerischen Rechtssammlung (BayRS 91-1-B) veröffentlichten bereinigten Fassung, das zuletzt durch § 1 des Gesetzes vom 10. Februar 2023 (GVBl. S. 22) geändert worden ist, wird wie folgt geändert:</w:t>
      </w:r>
    </w:p>
    <w:p>
      <w:r>
        <w:t xml:space="preserve">1. Art. 18 Abs. 1 wird wie folgt geändert:</w:t>
      </w:r>
    </w:p>
    <w:p>
      <w:r>
        <w:t xml:space="preserve">a) Nach Satz 1 wird folgender Satz 2 eingefügt:</w:t>
      </w:r>
    </w:p>
    <w:p>
      <w:r>
        <w:t xml:space="preserve">“ Die besondere Gefährdung des Geh- und Radverkehrs im Straßenverkehr ist bei der Entscheidung zu berücksichtigen, soweit nicht andere überwiegende Belange entgegenstehen.“</w:t>
      </w:r>
    </w:p>
    <w:p>
      <w:r>
        <w:t xml:space="preserve">b) Der bisherige Satz 2 wird Satz 3.</w:t>
      </w:r>
    </w:p>
    <w:p>
      <w:r>
        <w:t xml:space="preserve">2. In Art. 18b Abs. 1 Satz 1 wird nach dem Wort „Autowracks“ das Wort „ ,Zweiradwracks“ eingefügt.</w:t>
      </w:r>
    </w:p>
    <w:p>
      <w:r>
        <w:t xml:space="preserve">(2) In Art. 81 Abs. 1 Nr. 4 der Bayerischen Bauordnung (BayBO) in der Fassung der Bekanntmachung vom 14. August 2007 (GVBl. S. 588, BayRS 2132-1-B), die zuletzt durch Gesetz vom 23. Juni 2023 (GVBl. S. 250) geändert worden ist, werden nach dem Wort „Verkehrsinfrastruktur“ die Wörter „ ,der Anrechnung von Fahrradstellplätzen auf die Zahl notwendiger Stellplätze“ eingefügt.</w:t>
      </w:r>
    </w:p>
    <w:p>
      <w:r>
        <w:rPr>
          <w:color w:val="555555"/>
          <w:sz w:val="17"/>
        </w:rPr>
        <w:t xml:space="preserve">Zitiervorschlag: Art 13a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