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357 BayRVO (Bayern)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Beschlüsse des Vorstands oder der Vertreterversammlung, die gegen die Dienstordnung verstoßen, hat der Vorsitzende des Vorstands durch Beschwerde an die Aufsichtsbehörde zu beanstanden; die Beschwerde bewirkt Aufschub.</w:t>
      </w:r>
    </w:p>
    <w:p>
      <w:r>
        <w:t xml:space="preserve">(2) Macht der Vorstand oder sein Vorsitzender, obgleich ein wichtiger Grund dafür vorliegt, gegen einen Angestellten von seinem Kündigungs- oder Entlassungsrecht keinen Gebrauch, so kann ihn das Versicherungsamt dazu anhalten. (entfallen)</w:t>
      </w:r>
    </w:p>
    <w:p>
      <w:r>
        <w:t xml:space="preserve">(3) Läuft eine Bestimmung des Anstellungsvertrags der Dienstordnung zuwider, so ist sie nichtig.</w:t>
      </w:r>
    </w:p>
    <w:p>
      <w:r>
        <w:rPr>
          <w:color w:val="555555"/>
          <w:sz w:val="17"/>
        </w:rPr>
        <w:t xml:space="preserve">Zitiervorschlag: § 357 BayRVO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https://recht.nulegal.eu/gesetze/BayRVO/357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