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353 BayRVO (Bayern)</w:t>
      </w:r>
    </w:p>
    <w:p>
      <w:r>
        <w:rPr>
          <w:color w:val="555555"/>
          <w:sz w:val="18"/>
        </w:rPr>
        <w:t xml:space="preserve">Reichsversicherungsordnung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Dienstordnung enthält einen Besoldungsplan. Dabei regelt sie:</w:t>
      </w:r>
    </w:p>
    <w:p>
      <w:r>
        <w:t xml:space="preserve">1. wieweit bei unverschuldeter Arbeitsbehinderung das Gehalt fortgezahlt wird,</w:t>
      </w:r>
    </w:p>
    <w:p>
      <w:r>
        <w:t xml:space="preserve">2. in welchen Fristen Dienstalterszulagen gewährt werden,</w:t>
      </w:r>
    </w:p>
    <w:p>
      <w:r>
        <w:t xml:space="preserve">3. unter welchen Bedingungen Anstellung auf Lebenszeit oder nach Landesrecht unwiderruflich erfolgt und Ruhegehalt und Hinterbliebenenfürsorge gewährt werden.</w:t>
      </w:r>
    </w:p>
    <w:p>
      <w:r>
        <w:t xml:space="preserve">(2) Sie regelt ferner, unter welchen Voraussetzungen Beförderung stattfindet.</w:t>
      </w:r>
    </w:p>
    <w:p>
      <w:r>
        <w:rPr>
          <w:color w:val="555555"/>
          <w:sz w:val="17"/>
        </w:rPr>
        <w:t xml:space="preserve">Zitiervorschlag: § 353 BayRVO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https://recht.nulegal.eu/gesetze/BayRVO/353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