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352 BayRVO (Bayern)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Dienstordnung regelt die Rechts- und die allgemeinen Dienstverhältnisse der Angestellten, insbesondere den Nachweis ihrer fachlichen Befähigung, ihre Zahl, die Art der Anstellung, die Kündigung oder Entlassung und die Verhängung von Disziplinarmaßnahmen.</w:t>
      </w:r>
    </w:p>
    <w:p>
      <w:r>
        <w:rPr>
          <w:color w:val="555555"/>
          <w:sz w:val="17"/>
        </w:rPr>
        <w:t xml:space="preserve">Zitiervorschlag: § 352 BayRVO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https://recht.nulegal.eu/gesetze/BayRVO/352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