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349 BayRVO (Bayern)</w:t>
      </w:r>
    </w:p>
    <w:p>
      <w:r>
        <w:rPr>
          <w:color w:val="555555"/>
          <w:sz w:val="18"/>
        </w:rPr>
        <w:t xml:space="preserve">Reichsversicherungsordnung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den Krankenkassen werden die aus Mitteln der Kassen bezahlten Stellen der Beamten und derjenigen Angestellten, für welche die Dienstordnung (§ 351) gilt, mit zwei Drittel Mehrheit durch den Vorstand besetzt.</w:t>
      </w:r>
    </w:p>
    <w:p>
      <w:r>
        <w:rPr>
          <w:color w:val="555555"/>
          <w:sz w:val="17"/>
        </w:rPr>
        <w:t xml:space="preserve">Zitiervorschlag: § 349 BayRVO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https://recht.nulegal.eu/gesetze/BayRVO/349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