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Ablauf des 31. Dezember 1983 treten ferner außer Kraft</w:t>
      </w:r>
    </w:p>
    <w:p>
      <w:r>
        <w:t xml:space="preserve">1. Rechtssätze, die vor dem Erlaß der Verfassungsurkunde vom 26. Mai 1818 gegolten haben, und</w:t>
      </w:r>
    </w:p>
    <w:p>
      <w:r>
        <w:t xml:space="preserve">2. Rechtssätze der Gebiete, die nach dem 25. Mai 1818 bayerisches Staatsgebiet geworden sind,</w:t>
      </w:r>
    </w:p>
    <w:p>
      <w:r>
        <w:t xml:space="preserve">wenn sie nicht in der Anlage aufgeführt oder in einer in der Anlage verzeichneten Rechtsvorschrift aufrechterhalten sind.</w:t>
      </w:r>
    </w:p>
    <w:p>
      <w:r>
        <w:t xml:space="preserve">(2) Ausgenommen hiervon sind Rechtssätze, die Leistungen des Staates oder der politischen Gemeinden an die Religionsgemeinschaften oder den Simultangebrauch an Kirchen und Friedhöfen regeln.</w:t>
      </w:r>
    </w:p>
    <w:p>
      <w:r>
        <w:rPr>
          <w:color w:val="555555"/>
          <w:sz w:val="17"/>
        </w:rPr>
        <w:t xml:space="preserve">Zitiervorschlag: Art 5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