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BayRSG (Bayern)</w:t>
      </w:r>
    </w:p>
    <w:p>
      <w:r>
        <w:rPr>
          <w:color w:val="555555"/>
          <w:sz w:val="18"/>
        </w:rPr>
        <w:t xml:space="preserve">Bayerisches Rechtssammlungsgesetz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2 ist nicht anzuwenden auf</w:t>
      </w:r>
    </w:p>
    <w:p>
      <w:r>
        <w:t xml:space="preserve">1. Staatsverträge und Abkommen einschließlich der zu ihrer Inkraftsetzung ergangenen Vorschriften,</w:t>
      </w:r>
    </w:p>
    <w:p>
      <w:r>
        <w:t xml:space="preserve">2. Geschäftsordnungen der Verfassungsorgane,</w:t>
      </w:r>
    </w:p>
    <w:p>
      <w:r>
        <w:t xml:space="preserve">3. Satzungen, die erlassen worden sind</w:t>
      </w:r>
    </w:p>
    <w:p>
      <w:r>
        <w:t xml:space="preserve">a) von Körperschaften, Anstalten oder Stiftungen des öffentlichen Rechts, die unter der Aufsicht des Freistaates Bayern stehen,</w:t>
      </w:r>
    </w:p>
    <w:p>
      <w:r>
        <w:t xml:space="preserve">b) vom Staatsministerium für Unterricht und Kultus auf Grund gesetzlicher Ermächtigung für nichtstaatliche Hochschulen.</w:t>
      </w:r>
    </w:p>
    <w:p>
      <w:r>
        <w:t xml:space="preserve">(2) Das gleiche gilt für Vorschriften, soweit sie als Bundesrecht fortgelten.</w:t>
      </w:r>
    </w:p>
    <w:p>
      <w:r>
        <w:t xml:space="preserve">(3) Art. 2 ist ferner nicht anzuwenden auf</w:t>
      </w:r>
    </w:p>
    <w:p>
      <w:r>
        <w:t xml:space="preserve">1. Vorschriften, die den Gebietsstand des Freistaates Bayern betreffen,</w:t>
      </w:r>
    </w:p>
    <w:p>
      <w:r>
        <w:t xml:space="preserve">2. Vorschriften über die Einrichtung von Behörden im einzelnen.</w:t>
      </w:r>
    </w:p>
    <w:p>
      <w:r>
        <w:rPr>
          <w:color w:val="555555"/>
          <w:sz w:val="17"/>
        </w:rPr>
        <w:t xml:space="preserve">Zitiervorschlag: Art 3 BayRSG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https://recht.nulegal.eu/gesetze/BayRSG/3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