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BayRSG (Bayern)</w:t>
      </w:r>
    </w:p>
    <w:p>
      <w:r>
        <w:rPr>
          <w:color w:val="555555"/>
          <w:sz w:val="18"/>
        </w:rPr>
        <w:t xml:space="preserve">Bayerisches Rechtssammlungsgesetz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Anlagezu diesem Gesetz und die Textveröffentlichung der hierin verzeichneten Vorschriften bilden die Bayerische Rechtssammlung (BayRS). Diese gibt den Rechtszustand zum 1. Januar 1983 wieder.</w:t>
      </w:r>
    </w:p>
    <w:p>
      <w:r>
        <w:t xml:space="preserve">[Amtl. Anm.:] Seiten 1* bis 164*</w:t>
      </w:r>
    </w:p>
    <w:p>
      <w:r>
        <w:rPr>
          <w:color w:val="555555"/>
          <w:sz w:val="17"/>
        </w:rPr>
        <w:t xml:space="preserve">Zitiervorschlag: Art 1 BayRSG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https://recht.nulegal.eu/gesetze/BayRSG/1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