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BayRKG (Bayern) — Fahrkostenerstattung</w:t>
      </w:r>
    </w:p>
    <w:p>
      <w:r>
        <w:rPr>
          <w:color w:val="555555"/>
          <w:sz w:val="18"/>
        </w:rPr>
        <w:t xml:space="preserve">Bayerisches Reisekostengesetz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Strecken, die mit regelmäßig verkehrenden Beförderungsmitteln zurückgelegt worden sind, werden die entstandenen notwendigen Fahrkosten erstattet, und zwar beim Benutzen von</w:t>
      </w:r>
    </w:p>
    <w:p>
      <w:r>
        <w:t xml:space="preserve">Land- oder Wasserfahrzeugen</w:t>
      </w:r>
    </w:p>
    <w:p>
      <w:r>
        <w:t xml:space="preserve">Flugzeugen</w:t>
      </w:r>
    </w:p>
    <w:p>
      <w:r>
        <w:t xml:space="preserve">Schlafwagen</w:t>
      </w:r>
    </w:p>
    <w:p>
      <w:r>
        <w:t xml:space="preserve">den Angehörigen der Besoldungsgruppen</w:t>
      </w:r>
    </w:p>
    <w:p>
      <w:r>
        <w:t xml:space="preserve">bis zu den Kosten der</w:t>
      </w:r>
    </w:p>
    <w:p>
      <w:r>
        <w:t xml:space="preserve">A 1 bis A 7</w:t>
      </w:r>
    </w:p>
    <w:p>
      <w:r>
        <w:t xml:space="preserve">zweiten Klasse</w:t>
      </w:r>
    </w:p>
    <w:p>
      <w:r>
        <w:t xml:space="preserve">Touristen- oder Economyklasse</w:t>
      </w:r>
    </w:p>
    <w:p>
      <w:r>
        <w:t xml:space="preserve">Touristenklasse</w:t>
      </w:r>
    </w:p>
    <w:p>
      <w:r>
        <w:t xml:space="preserve">den übrigen Besoldungsgruppen</w:t>
      </w:r>
    </w:p>
    <w:p>
      <w:r>
        <w:t xml:space="preserve">ersten Klasse</w:t>
      </w:r>
    </w:p>
    <w:p>
      <w:r>
        <w:t xml:space="preserve">Touristen- oder Economyklasse</w:t>
      </w:r>
    </w:p>
    <w:p>
      <w:r>
        <w:t xml:space="preserve">Doppel- oder Einbettklasse</w:t>
      </w:r>
    </w:p>
    <w:p>
      <w:r>
        <w:t xml:space="preserve">Fahrpreisermäßigungen sind zu berücksichtigen. Wird die Dienstreise an der Wohnung angetreten oder beendet, werden höchstens die Fahrkosten erstattet, die bei der Abreise oder Ankunft an der Dienststelle angefallen wären; dies gilt nicht, wenn es zur Erledigung des konkreten Dienstgeschäfts aus dienstlichen Gründen erforderlich ist, die Dienstreise zwischen zwanzig Uhr und sechs Uhr oder an einem Samstag, Sonntag oder gesetzlichen Feiertag anzutreten oder zu beenden. Fahrkosten werden nicht erstattet, wenn das regelmäßig verkehrende Beförderungsmittel oder ein anderes Beförderungsmittel unentgeltlich benutzt werden kann.</w:t>
      </w:r>
    </w:p>
    <w:p>
      <w:r>
        <w:t xml:space="preserve">(2) Ist der Dienstreisende noch nicht Angehöriger einer Besoldungsgruppe, so ist die Besoldungsgruppe seines Eingangsamts maßgebend. Die Rückwirkung der Einweisung in eine Planstelle und die Rückwirkung der Zuteilung eines Amts zu einer anderen Besoldungsgruppe bleiben unberücksichtigt. Ehrenbeamte werden den Beamten der übrigen Besoldungsgruppen im Sinn des Absatzes 1 Satz 1 gleichgestellt.</w:t>
      </w:r>
    </w:p>
    <w:p>
      <w:r>
        <w:t xml:space="preserve">(3) Die Kosten einer höheren Klasse werden erstattet, wenn Dienstreisende sie aus dienstlichen Gründen benutzen mussten.</w:t>
      </w:r>
    </w:p>
    <w:p>
      <w:r>
        <w:t xml:space="preserve">(4) Dienstreisende, denen nach Absatz 1 die Fahrkosten der niedrigsten Klasse zu erstatten wären, werden bei einem Grad der Behinderung von wenigstens 50 die Auslagen für die nächsthöhere Klasse erstattet. Dieselbe Vergünstigung kann anderen Dienstreisenden gewährt werden, wenn ihr körperlicher oder gesundheitlicher Zustand das Benutzen der höheren Klasse rechtfertigt.</w:t>
      </w:r>
    </w:p>
    <w:p>
      <w:r>
        <w:t xml:space="preserve">(5) Für Strecken, die aus triftigen Gründen mit anderen als den in Art. 6 genannten nicht regelmäßig verkehrenden Beförderungsmitteln zurückgelegt worden sind, werden die entstandenen notwendigen Fahrkosten erstattet. Liegen keine triftigen Gründe vor, so darf keine höhere Reisekostenvergütung gewährt werden als beim Benutzen eines regelmäßig verkehrenden Beförderungsmittels.</w:t>
      </w:r>
    </w:p>
    <w:p>
      <w:r>
        <w:rPr>
          <w:color w:val="555555"/>
          <w:sz w:val="17"/>
        </w:rPr>
        <w:t xml:space="preserve">Zitiervorschlag: Art 5 BayRKG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https://recht.nulegal.eu/gesetze/BayRKG/5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