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BayRKG (Bayern) — Art der Reisekostenvergütung</w:t>
      </w:r>
    </w:p>
    <w:p>
      <w:r>
        <w:rPr>
          <w:color w:val="555555"/>
          <w:sz w:val="18"/>
        </w:rPr>
        <w:t xml:space="preserve">Bayerisches Reisekostengesetz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Reisekostenvergütung umfasst</w:t>
      </w:r>
    </w:p>
    <w:p>
      <w:r>
        <w:t xml:space="preserve">1. Fahrkostenerstattung (Art. 5),</w:t>
      </w:r>
    </w:p>
    <w:p>
      <w:r>
        <w:t xml:space="preserve">2. Wegstrecken- und Mitnahmeentschädigung (Art. 6),</w:t>
      </w:r>
    </w:p>
    <w:p>
      <w:r>
        <w:t xml:space="preserve">3. Tagegeld (Art. 8),</w:t>
      </w:r>
    </w:p>
    <w:p>
      <w:r>
        <w:t xml:space="preserve">4. Übernachtungsgeld (Art. 9),</w:t>
      </w:r>
    </w:p>
    <w:p>
      <w:r>
        <w:t xml:space="preserve">5. Erstattung der Auslagen bei längerem Aufenthalt am Geschäftsort (Art. 10),</w:t>
      </w:r>
    </w:p>
    <w:p>
      <w:r>
        <w:t xml:space="preserve">6. Erstattung der Nebenkosten (Art. 12),</w:t>
      </w:r>
    </w:p>
    <w:p>
      <w:r>
        <w:t xml:space="preserve">7. Erstattung der Auslagen bei Dienstreisen bis zu sechs Stunden Dauer und bei Dienstgängen (Art. 13),</w:t>
      </w:r>
    </w:p>
    <w:p>
      <w:r>
        <w:t xml:space="preserve">8. Aufwandsvergütung (Art. 18),</w:t>
      </w:r>
    </w:p>
    <w:p>
      <w:r>
        <w:t xml:space="preserve">9. Pauschvergütung (Art. 19),</w:t>
      </w:r>
    </w:p>
    <w:p>
      <w:r>
        <w:t xml:space="preserve">10. Erstattung der Auslagen für Reisevorbereitungen und bei vorzeitiger Beendigung des Dienstgeschäfts (Art. 20).</w:t>
      </w:r>
    </w:p>
    <w:p>
      <w:r>
        <w:rPr>
          <w:color w:val="555555"/>
          <w:sz w:val="17"/>
        </w:rPr>
        <w:t xml:space="preserve">Zitiervorschlag: Art 4 BayRKG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https://recht.nulegal.eu/gesetze/BayRKG/4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