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27 BayRKG (Bayern) — Verweisungen</w:t>
      </w:r>
    </w:p>
    <w:p>
      <w:r>
        <w:rPr>
          <w:color w:val="555555"/>
          <w:sz w:val="18"/>
        </w:rPr>
        <w:t xml:space="preserve">Bayerisches Reisekostengesetz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Ist in Rechts- und Verwaltungsvorschriften auf Vorschriften und Bezeichnungen Bezug genommen, die nach diesem Gesetz nicht mehr gelten, so treten an ihre Stelle die entsprechenden Vorschriften und Bezeichnungen dieses Gesetzes.</w:t>
      </w:r>
    </w:p>
    <w:p>
      <w:r>
        <w:rPr>
          <w:color w:val="555555"/>
          <w:sz w:val="17"/>
        </w:rPr>
        <w:t xml:space="preserve">Zitiervorschlag: Art 27 BayRKG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https://recht.nulegal.eu/gesetze/BayRKG/27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