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25 BayRKG (Bayern) — Ermächtigung und Verwaltungsvorschriften</w:t>
      </w:r>
    </w:p>
    <w:p>
      <w:r>
        <w:rPr>
          <w:color w:val="555555"/>
          <w:sz w:val="18"/>
        </w:rPr>
        <w:t xml:space="preserve">Bayerisches Reisekostengesetz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Staatsministerium der Finanzen und für Heimat wird ermächtigt,</w:t>
      </w:r>
    </w:p>
    <w:p>
      <w:r>
        <w:t xml:space="preserve">1. durch Rechtsverordnung die in Art. 6 Abs. 1, 2 und 6, Art. 8 Abs. 1 und 2, Art. 9 Abs. 2 und 3, Art. 11 Abs. 1 und 2 und Art. 13 genannten Beträge und Vomhundertsätze veränderten wirtschaftlichen oder steuerlichen Verhältnissen, die Klasseneinteilung in Art. 5 Abs. 1 und die Klassifizierung der Fahrzeuge in Art. 6 Abs. 1 anzupassen,</w:t>
      </w:r>
    </w:p>
    <w:p>
      <w:r>
        <w:t xml:space="preserve">2. durch Rechtsverordnung abweichende Vorschriften über die Reisekostenvergütung bei Auslandsdienstreisen (Auslandsreisekostenverordnung) zu erlassen, soweit die besonderen Verhältnisse bei diesen Reisen es erfordern,</w:t>
      </w:r>
    </w:p>
    <w:p>
      <w:r>
        <w:t xml:space="preserve">3. die zur Durchführung dieses Gesetzes erforderlichen allgemeinen Verwaltungsvorschriften zu erlassen.</w:t>
      </w:r>
    </w:p>
    <w:p>
      <w:r>
        <w:rPr>
          <w:color w:val="555555"/>
          <w:sz w:val="17"/>
        </w:rPr>
        <w:t xml:space="preserve">Zitiervorschlag: Art 25 BayRKG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https://recht.nulegal.eu/gesetze/BayRKG/25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