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BayRKG (Bayern) — Erstattung von Auslagen bei Reisen aus besonderem Anlass</w:t>
      </w:r>
    </w:p>
    <w:p>
      <w:r>
        <w:rPr>
          <w:color w:val="555555"/>
          <w:sz w:val="18"/>
        </w:rPr>
        <w:t xml:space="preserve">Bayerisches Reisekostengesetz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Reisen zum Zweck der Aus- oder Fortbildung können erstattet werden:</w:t>
      </w:r>
    </w:p>
    <w:p>
      <w:r>
        <w:t xml:space="preserve">1. 75 v.H. des Tagegeldes nach Art. 8,</w:t>
      </w:r>
    </w:p>
    <w:p>
      <w:r>
        <w:t xml:space="preserve">2. die entstandenen notwendigen Übernachtungskosten nach Art. 9,</w:t>
      </w:r>
    </w:p>
    <w:p>
      <w:r>
        <w:t xml:space="preserve">3. Fahrkosten nach Art. 5 Abs. 1 bis zu dem Betrag, der Dienstreisenden der Besoldungsgruppe A 7 zu erstatten wäre,</w:t>
      </w:r>
    </w:p>
    <w:p>
      <w:r>
        <w:t xml:space="preserve">4. 75 v.H. der Wegstrecken- und Mitnahmeentschädigung nach Art. 6 und</w:t>
      </w:r>
    </w:p>
    <w:p>
      <w:r>
        <w:t xml:space="preserve">5. die entstandenen notwendigen Nebenkosten nach Art. 12.</w:t>
      </w:r>
    </w:p>
    <w:p>
      <w:r>
        <w:t xml:space="preserve">Findet die Veranstaltung am Dienst- oder Wohnort statt, werden nur die notwendigen Fahrkosten und Nebenkosten erstattet. Im Übrigen gilt Abschnitt II dieses Gesetzes entsprechend.</w:t>
      </w:r>
    </w:p>
    <w:p>
      <w:r>
        <w:t xml:space="preserve">(2) Mit Zustimmung der obersten Dienstbehörde kann in besonderen Fällen Auslagenerstattung wie bei Dienstreisen gewährt werden.</w:t>
      </w:r>
    </w:p>
    <w:p>
      <w:r>
        <w:t xml:space="preserve">(3) Absatz 1 gilt entsprechend bei Reisen zum Ablegen von vorgeschriebenen Qualifikationsprüfungen.</w:t>
      </w:r>
    </w:p>
    <w:p>
      <w:r>
        <w:t xml:space="preserve">(4) Für Fahrten zwischen Wohnung und regelmäßiger Dienststätte aus besonderem dienstlichen Anlass können die entstandenen notwendigen Fahrkosten erstattet werden.</w:t>
      </w:r>
    </w:p>
    <w:p>
      <w:r>
        <w:rPr>
          <w:color w:val="555555"/>
          <w:sz w:val="17"/>
        </w:rPr>
        <w:t xml:space="preserve">Zitiervorschlag: Art 24 BayRKG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https://recht.nulegal.eu/gesetze/BayRKG/24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