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BayRKG (Bayern) — Verbindung von Dienstreisen mit privaten Reisen</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eine Dienstreise mit einer privaten Reise verbunden, ist die Reisekostenvergütung so zu bemessen, als wäre nur die Dienstreise durchgeführt worden. Die Reisekostenvergütung darf die nach dem tatsächlichen Reiseverlauf entstandenen Kosten nicht übersteigen. Dies gilt auch in Fällen des Art. 2 Abs. 4.</w:t>
      </w:r>
    </w:p>
    <w:p>
      <w:r>
        <w:t xml:space="preserve">(2) Ist der Antritt einer Dienstreise vom Urlaubsort aus angeordnet oder genehmigt worden, gilt der Urlaubsort als Ausgangsort der Dienstreise. Absatz 1 Satz 2 gilt entsprechend. Ist die Dienstreise erst nach dem Ende des Urlaubs anzutreten, wird Reisekostenvergütung vom Urlaubsort zum Geschäftsort und vom Geschäftsort zum Dienstort oder zur Wohnung (Art. 7) gewährt. Auf den sich nach Satz 3 ergebenden Fahrkostenersatz werden Fahrkosten für die kürzeste Reisestrecke vom letzten Urlaubsort zum Dienstort oder zur Wohnung angerechnet.</w:t>
      </w:r>
    </w:p>
    <w:p>
      <w:r>
        <w:t xml:space="preserve">(3) Wird aus dienstlichen Gründen die vorzeitige Beendigung eines Urlaubs angeordnet, wird für die Rückreise vom letzten Urlaubsort zum Dienstort oder zur Wohnung (Art. 7) Reisekostenvergütung gewährt. Sonstige Aufwendungen der Dienstreisenden und der sie begleitenden Personen, die durch die vorzeitige Beendigung eines Urlaubs verursacht worden sind, werden in angemessenem Umfang erstattet. Für die Urlaubsreise angefallene Fahrkosten des Dienstreisenden und der sie begleitenden Personen können im Verhältnis des auf Grund der vorzeitigen Urlaubsbeendigung nicht ausgenutzten Teils des Urlaubs erstattet werden.</w:t>
      </w:r>
    </w:p>
    <w:p>
      <w:r>
        <w:rPr>
          <w:color w:val="555555"/>
          <w:sz w:val="17"/>
        </w:rPr>
        <w:t xml:space="preserve">Zitiervorschlag: Art 15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