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BayRKG (Bayern) — Kürzung des Tage- und Übernachtungsgeldes und der Vergütung nach Art. 10 Abs. 1</w:t>
      </w:r>
    </w:p>
    <w:p>
      <w:r>
        <w:rPr>
          <w:color w:val="555555"/>
          <w:sz w:val="18"/>
        </w:rPr>
        <w:t xml:space="preserve">Bayerisches Reisekostengesetz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Erhalten Dienstreisende ihres Amts wegen unentgeltlich Verpflegung, ist</w:t>
      </w:r>
    </w:p>
    <w:p>
      <w:r>
        <w:t xml:space="preserve">1. vom Tagegeld (Art. 8) für das Frühstück um 20 v.H., für das Mittag- und Abendessen um je 40 v.H. des vollen Satzes,</w:t>
      </w:r>
    </w:p>
    <w:p>
      <w:r>
        <w:t xml:space="preserve">2. von der Vergütung nach Art. 10 für das Frühstück um 15 v.H., für das Mittag- und Abendessen um je 25 v.H.,</w:t>
      </w:r>
    </w:p>
    <w:p>
      <w:r>
        <w:t xml:space="preserve">höchstens jedoch ein Betrag bis zur Höhe des jeweiligen Tagegeldes einzubehalten. Das Tagegeld und die Vergütung nach Art. 10 Abs. 1 werden nach Satz 1 auch gekürzt, wenn von dritter Seite Verpflegung bereitgestellt wird und das Entgelt für sie in den erstattbaren Fahr- oder Nebenkosten enthalten ist.</w:t>
      </w:r>
    </w:p>
    <w:p>
      <w:r>
        <w:t xml:space="preserve">(2) Erhalten Dienstreisende ihres Amts wegen unentgeltlich Unterkunft oder werden die Auslagen für das Benutzen von Schlaf-, Liegewagen oder Schiffskabinen erstattet, wird Übernachtungsgeld (Art. 9) nicht gewährt, die Vergütung nach Art. 10 Abs. 1 wird um 35 v.H. gekürzt. Das gleiche gilt, wenn von dritter Seite Unterkunft bereitgestellt wird und das Entgelt für sie in den erstattbaren Nebenkosten enthalten ist.</w:t>
      </w:r>
    </w:p>
    <w:p>
      <w:r>
        <w:t xml:space="preserve">(3) Die Absätze 1 und 2 sind auch dann anzuwenden, wenn Dienstreisende ihres Amts wegen unentgeltlich bereitgestellte Verpflegung oder Unterkunft ohne triftigen Grund nicht in Anspruch nehmen.</w:t>
      </w:r>
    </w:p>
    <w:p>
      <w:r>
        <w:t xml:space="preserve">(4) Die oberste Dienstbehörde kann in besonderen Fällen niedrigere Kürzungssätze zulassen.</w:t>
      </w:r>
    </w:p>
    <w:p>
      <w:r>
        <w:rPr>
          <w:color w:val="555555"/>
          <w:sz w:val="17"/>
        </w:rPr>
        <w:t xml:space="preserve">Zitiervorschlag: Art 11 BayRKG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https://recht.nulegal.eu/gesetze/BayRKG/11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