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BayRKG (Bayern) — Erstattung der Auslagen bei längerem Aufenthalt am Geschäftsort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Dauert der Aufenthalt an demselben auswärtigen Geschäftsort länger als 14 Tage, so werden als Vergütung vom 15. Tag an 50 v.H. des Tage- und Übernachtungsgeldes (Art. 8 Abs. 2 Satz 1, Art. 9 Abs. 2) und vom 43. Tag an Trennungstagegeld und Reisebeihilfen wie bei einer Abordnung (Art. 23) gewährt; Art. 9 Abs. 3 wird insoweit nicht angewandt. Zu den Aufenthaltstagen rechnen alle Tage zwischen dem Hinreisetag und dem Rückreisetag.</w:t>
      </w:r>
    </w:p>
    <w:p>
      <w:r>
        <w:t xml:space="preserve">(2) Die oberste Dienstbehörde kann abweichend von Absatz 1 das volle Tage- und Übernachtungsgeld (Art. 8 Abs. 2 Satz 1, Art. 9 Abs. 2 und 3) in besonderen Fällen über die 14-Tagesfrist hinaus, längstens jedoch bis zu drei Monaten bewilligen.</w:t>
      </w:r>
    </w:p>
    <w:p>
      <w:r>
        <w:rPr>
          <w:color w:val="555555"/>
          <w:sz w:val="17"/>
        </w:rPr>
        <w:t xml:space="preserve">Zitiervorschlag: Art 10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