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BayRG (Bayern) — Kontrollrecht und Zusammensetzung des Rundfunkrats, Verordnungsermächtigung</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Rundfunkrat vertritt die Interessen der Allgemeinheit auf dem Gebiet des Rundfunks. Er wacht darüber, dass der Bayerische Rundfunk seine Aufgaben gemäß dem Gesetz erfüllt und übt das hierzu nötige Kontrollrecht aus. Seine Mitglieder sind verpflichtet, sich in ihrer Tätigkeit für die Gesamtinteressen des Rundfunks und der Rundfunkteilnehmer einzusetzen. Sie sind an Aufträge nicht gebunden.</w:t>
      </w:r>
    </w:p>
    <w:p>
      <w:r>
        <w:t xml:space="preserve">(2) An der Kontrolle des Rundfunks sind die in Betracht kommenden bedeutsamen politischen, weltanschaulichen und gesellschaftlichen Gruppen nach Maßgabe dieses Gesetzes angemessen zu beteiligen. Die weltanschaulichen und gesellschaftlichen Gruppen wählen oder berufen ihre Vertreter selbst. Die Staatsregierung kann durch Rechtsverordnung das Auswahl- und Entsendungsverfahren in den Fällen regeln, in denen die Entsendung eines Mitglieds des Rundfunkrats mehreren Organisationen oder Stellen obliegt.</w:t>
      </w:r>
    </w:p>
    <w:p>
      <w:r>
        <w:t xml:space="preserve">(3) Der Rundfunkrat setzt sich zusammen aus:</w:t>
      </w:r>
    </w:p>
    <w:p>
      <w:r>
        <w:t xml:space="preserve">1. zwölf Vertretern des Landtags, die dieser entsprechend dem Stärkeverhältnis der in ihm vertretenen Parteien und sonstigen organisierten Wählergruppen nach dem Verfahren Sainte-Laguë/Schepers bestimmt; jede Partei und sonstige organisierte Wählergruppe stellt mindestens einen Vertreter;</w:t>
      </w:r>
    </w:p>
    <w:p>
      <w:r>
        <w:t xml:space="preserve">2. einem Vertreter der Staatsregierung;</w:t>
      </w:r>
    </w:p>
    <w:p>
      <w:r>
        <w:t xml:space="preserve">3. je zwei Vertretern der katholischen und evangelischen Kirche, wobei jeweils die kirchlichen Frauenorganisationen zu berücksichtigen sind, sowie einem Vertreter der Israelitischen Kultusgemeinden;</w:t>
      </w:r>
    </w:p>
    <w:p>
      <w:r>
        <w:t xml:space="preserve">4. je zwei Vertretern der Gewerkschaften und des Bayerischen Bauernverbands sowie je einem Vertreter der Industrie- und Handelskammern und der Handwerkskammern;</w:t>
      </w:r>
    </w:p>
    <w:p>
      <w:r>
        <w:t xml:space="preserve">5. je einem Vertreter des Bayerischen Städtetags, des Bayerischen Landkreistags und des Bayerischen Gemeindetags;</w:t>
      </w:r>
    </w:p>
    <w:p>
      <w:r>
        <w:t xml:space="preserve">6. einem Vertreter des Bundes der Vertriebenen Landesverband Bayern;</w:t>
      </w:r>
    </w:p>
    <w:p>
      <w:r>
        <w:t xml:space="preserve">7. einem Verbandsvertreter aus dem Bereich Freizeit, Tourismus, Gastronomie und Hotel;</w:t>
      </w:r>
    </w:p>
    <w:p>
      <w:r>
        <w:t xml:space="preserve">8. einem Vertreter des Bayerischen Jugendrings;</w:t>
      </w:r>
    </w:p>
    <w:p>
      <w:r>
        <w:t xml:space="preserve">9. zwei Vertretern des Bayerischen Landessportverbands;</w:t>
      </w:r>
    </w:p>
    <w:p>
      <w:r>
        <w:t xml:space="preserve">10. je einem Vertreter der Schriftsteller-, der Komponisten- und der Musikorganisationen;</w:t>
      </w:r>
    </w:p>
    <w:p>
      <w:r>
        <w:t xml:space="preserve">11. einem Vertreter der Intendanzen der Bayerischen Staatstheater und einem Vertreter der Leiter der Bayerischen Schauspielbühnen;</w:t>
      </w:r>
    </w:p>
    <w:p>
      <w:r>
        <w:t xml:space="preserve">12. je einem Vertreter des Bayerischen Journalistenverbands und des Bayerischen Zeitungsverlegerverbands;</w:t>
      </w:r>
    </w:p>
    <w:p>
      <w:r>
        <w:t xml:space="preserve">13. einem Vertreter der bayerischen Hochschulen;</w:t>
      </w:r>
    </w:p>
    <w:p>
      <w:r>
        <w:t xml:space="preserve">14. je einem Vertreter der Lehrerverbände, der Elternvereinigungen und der Organisationen der Erwachsenenbildung;</w:t>
      </w:r>
    </w:p>
    <w:p>
      <w:r>
        <w:t xml:space="preserve">15. einem Vertreter des Bayerischen Heimattags;</w:t>
      </w:r>
    </w:p>
    <w:p>
      <w:r>
        <w:t xml:space="preserve">16. einem Vertreter der Familienverbände;</w:t>
      </w:r>
    </w:p>
    <w:p>
      <w:r>
        <w:t xml:space="preserve">17. einem Vertreter der Vereinigung der Bayerischen Wirtschaft;</w:t>
      </w:r>
    </w:p>
    <w:p>
      <w:r>
        <w:t xml:space="preserve">18. einem Vertreter des Bundes Naturschutz in Bayern;</w:t>
      </w:r>
    </w:p>
    <w:p>
      <w:r>
        <w:t xml:space="preserve">19. einem Vertreter des Verbands der freien Berufe;</w:t>
      </w:r>
    </w:p>
    <w:p>
      <w:r>
        <w:t xml:space="preserve">20. einem Vertreter der Landesarbeitsgemeinschaft Selbsthilfe von Menschen mit Behinderung und chronischer Erkrankung und ihrer Angehörigen in Bayern;</w:t>
      </w:r>
    </w:p>
    <w:p>
      <w:r>
        <w:t xml:space="preserve">21. einem Vertreter der Arbeitsgemeinschaft der Ausländer-, Migranten- und Integrationsbeiräte Bayerns.</w:t>
      </w:r>
    </w:p>
    <w:p>
      <w:r>
        <w:t xml:space="preserve">Sofern eine Organisation oder Stelle mehrere Vertreter entsendet, sollen zu gleichen Teilen Frauen und Männer entsandt werden. Im Übrigen soll, sofern ein neuer Vertreter entsandt wird, einem männlichen Vertreter eine Frau und einem weiblichen Vertreter ein Mann nachfolgen. Ist dies auf Grund der Zusammensetzung der entsendungsberechtigten Organisation oder Stelle nicht möglich oder aus sonstigen Gründen nicht sachdienlich, ist gegenüber dem Vorsitzenden des Rundfunkrats bei der Benennung des Mitglieds eine schriftliche Begründung abzugeben. Die Begründung ist dem Rundfunkrat bekannt zu geben und auf der Internetseite des Bayerischen Rundfunks zu veröffentlichen, solange eine Abweichung von der Gleichstellungsregel gegeben ist.</w:t>
      </w:r>
    </w:p>
    <w:p>
      <w:r>
        <w:t xml:space="preserve">(4) Die Mitglieder des Rundfunkrats werden jeweils für fünf Jahre entsandt. Ihre Amtszeit beginnt am 1. Mai. Die entsendende Organisation oder Stelle kann das von ihr benannte Mitglied bei seinem Ausscheiden aus dieser Organisation oder Stelle abberufen. Scheidet ein Mitglied während der Amtszeit aus, so wird der Nachfolger für den Rest der Amtszeit entsandt.</w:t>
      </w:r>
    </w:p>
    <w:p>
      <w:r>
        <w:t xml:space="preserve">(5) Die Amtszeit der vom Landtag entsandten Mitglieder beginnt mit dem Zeitpunkt der Entsendung; sie endet mit der Entsendung der neuen Vertreter zu Beginn der nächsten Legislaturperiode. Der Landtag kann ein von ihm entsandtes Mitglied des Rundfunkrats auf Vorschlag der Vertreter der Partei im Landtag, welche das Mitglied nominiert hat, abberufen, wenn das Mitglied nicht mehr dieser Partei angehört und einen neuen Vertreter entsenden.</w:t>
      </w:r>
    </w:p>
    <w:p>
      <w:r>
        <w:t xml:space="preserve">(6) Die Staatsregierung überprüft die Regelungen zur Zusammensetzung des Rundfunkrats und berichtet dem Landtag über das Ergebnis jeweils nach zehn Jahren, erstmals zum Ende des Jahres 2024.</w:t>
      </w:r>
    </w:p>
    <w:p>
      <w:r>
        <w:rPr>
          <w:color w:val="555555"/>
          <w:sz w:val="17"/>
        </w:rPr>
        <w:t xml:space="preserve">Zitiervorschlag: Art 6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