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BayRG (Bayern) — Zuständigkeiten nach dem Medienstaatsvertrag</w:t>
      </w:r>
    </w:p>
    <w:p>
      <w:r>
        <w:rPr>
          <w:color w:val="555555"/>
          <w:sz w:val="18"/>
        </w:rPr>
        <w:t xml:space="preserve">Bayerisches Rundfunkgesetz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für den Bayerischen Rundfunk nach § 16 Abs. 1 Satz 1 MStV zuständige Behörde ist die Rechtsaufsichtsbehörde.</w:t>
      </w:r>
    </w:p>
    <w:p>
      <w:r>
        <w:t xml:space="preserve">(2) Zuständige Behörde nach § 16 Abs. 2 Satz 2 MStV ist für den Bereich des Bayerischen Rundfunks die Staatskanzlei.</w:t>
      </w:r>
    </w:p>
    <w:p>
      <w:r>
        <w:t xml:space="preserve">(3) Die Rechtsaufsichtsbehörde entscheidet innerhalb von zwei Monaten nach einem Beschluss des Rundfunkrats nach § 32 MStV, ob Einwände hinsichtlich der Rechtmäßigkeit bestehen. Das Nähere regelt die Satzung.</w:t>
      </w:r>
    </w:p>
    <w:p>
      <w:r>
        <w:rPr>
          <w:color w:val="555555"/>
          <w:sz w:val="17"/>
        </w:rPr>
        <w:t xml:space="preserve">Zitiervorschlag: Art 25 BayRG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