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BayRG (Bayern) — Arbeitsweise des Verwaltungsrats</w:t>
      </w:r>
    </w:p>
    <w:p>
      <w:r>
        <w:rPr>
          <w:color w:val="555555"/>
          <w:sz w:val="18"/>
        </w:rPr>
        <w:t xml:space="preserve">Bayerisches Rundfunkgesetz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Verwaltungsrat wird durch seinen Vorsitzenden einberufen und ist beschlussfähig, wenn mindestens vier seiner Mitglieder anwesend sind. Die Beschlüsse werden mit einfacher Mehrheit gefasst. Die Sitzungen des Verwaltungsrats finden grundsätzlich nichtöffentlich statt.</w:t>
      </w:r>
    </w:p>
    <w:p>
      <w:r>
        <w:t xml:space="preserve">(2) Der Verwaltungsrat bestellt für seinen Aufgabenbereich einen Geschäftsführer.</w:t>
      </w:r>
    </w:p>
    <w:p>
      <w:r>
        <w:t xml:space="preserve">(3) Der Verwaltungsrat kann durch eine Regelung in seiner Geschäftsordnung Ausschüsse bilden und diesen auch beschließende Funktionen übertragen. Art. 8 Abs. 1 Satz 1 und 3 und Abs. 2 gilt entsprechend.</w:t>
      </w:r>
    </w:p>
    <w:p>
      <w:r>
        <w:rPr>
          <w:color w:val="555555"/>
          <w:sz w:val="17"/>
        </w:rPr>
        <w:t xml:space="preserve">Zitiervorschlag: Art 11 BayRG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