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BayRFGebLSatz (Bayern) — Säumniszuschläge, Kosten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Werden geschuldete Rundfunkgebühren nicht innerhalb einer Frist von 4 Wochen nach Fälligkeit in voller Höhe entrichtet, wird ein Säumniszuschlag in Höhe von DM 10,- fällig. Der Säumniszuschlag wird zusammen mit der Rundfunkgebührenschuld durch Bescheid nach § 7 Abs. 5 Rundfunkgebührenstaatsvertrag festgesetzt. Mit jedem Gebührenbescheid kann nur ein Säumniszuschlag erhoben werden.</w:t>
      </w:r>
    </w:p>
    <w:p>
      <w:r>
        <w:t xml:space="preserve">(2) Im übrigen werden Gebühren und Auslagen im Verwaltungszwangsverfahren entsprechend den landesrechtlichen Regelungen erhoben.</w:t>
      </w:r>
    </w:p>
    <w:p>
      <w:r>
        <w:rPr>
          <w:color w:val="555555"/>
          <w:sz w:val="17"/>
        </w:rPr>
        <w:t xml:space="preserve">Zitiervorschlag: § 6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