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BayRFGebLSatz (Bayern) — Teilnehmernummer</w:t>
      </w:r>
    </w:p>
    <w:p>
      <w:r>
        <w:rPr>
          <w:color w:val="555555"/>
          <w:sz w:val="18"/>
        </w:rPr>
        <w:t xml:space="preserve">Satzung über das Verfahren zur Leistung der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Jeder Rundfunkteilnehmer erhält eine Mitteilung über seine Teilnehmernummer. Sie ist bei allen Mitteilungen, Anträgen und Zahlungen anzugeben.</w:t>
      </w:r>
    </w:p>
    <w:p>
      <w:r>
        <w:rPr>
          <w:color w:val="555555"/>
          <w:sz w:val="17"/>
        </w:rPr>
        <w:t xml:space="preserve">Zitiervorschlag: § 4 BayRFGebLSatz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https://recht.nulegal.eu/gesetze/BayRFGebLSatz/4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