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54 BayRDG (Bayern) — Organisation und Finanzierung</w:t>
      </w:r>
    </w:p>
    <w:p>
      <w:r>
        <w:rPr>
          <w:color w:val="555555"/>
          <w:sz w:val="18"/>
        </w:rPr>
        <w:t xml:space="preserve">Bayerisches Rettungsdienstgesetz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Das Notfallregister wird von der obersten Rettungsdienstbehörde betrieben und vollzogen.</w:t>
      </w:r>
    </w:p>
    <w:p>
      <w:r>
        <w:t xml:space="preserve">(2) Die oberste Rettungsdienstbehörde bedient sich eines wissenschaftlichen Dienstes, um insbesondere folgende Aufgaben zu erfüllen:</w:t>
      </w:r>
    </w:p>
    <w:p>
      <w:r>
        <w:t xml:space="preserve">1. Aufbau, Weiterentwicklung und Qualitätssicherung des Notfallregisters,</w:t>
      </w:r>
    </w:p>
    <w:p>
      <w:r>
        <w:t xml:space="preserve">2. Betrieb des Notfallregisters, Beratung und Unterstützung der Auswertungsberechtigten,</w:t>
      </w:r>
    </w:p>
    <w:p>
      <w:r>
        <w:t xml:space="preserve">3. Aufbereitung und wissenschaftliche Auswertung des Notfallregisters für die Auswertungsberechtigten,</w:t>
      </w:r>
    </w:p>
    <w:p>
      <w:r>
        <w:t xml:space="preserve">4. Unterstützung in der Umsetzung der Datenschutzmaßnahmen,</w:t>
      </w:r>
    </w:p>
    <w:p>
      <w:r>
        <w:t xml:space="preserve">5. Unterstützung der Genehmigungsverfahren nach Art. 56 Abs. 2.</w:t>
      </w:r>
    </w:p>
    <w:p>
      <w:r>
        <w:t xml:space="preserve">Der Betreiber des wissenschaftlichen Dienstes muss zur Erfüllung dieser Aufgaben über die notwendige wissenschaftliche Kompetenz, technische und organisatorische Fach- und Sachkunde sowie Zuverlässigkeit verfügen.</w:t>
      </w:r>
    </w:p>
    <w:p>
      <w:r>
        <w:t xml:space="preserve">(3) Die Kosten für den Betrieb des Notfallregisters tragen die Sozialversicherungsträger.</w:t>
      </w:r>
    </w:p>
    <w:p>
      <w:r>
        <w:rPr>
          <w:color w:val="555555"/>
          <w:sz w:val="17"/>
        </w:rPr>
        <w:t xml:space="preserve">Zitiervorschlag: Art 54 BayRDG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https://recht.nulegal.eu/gesetze/BayRDG/54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