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50 BayRDG (Bayern) — Aufsicht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Unternehmer unterliegt hinsichtlich der Erfüllung der Vorschriften dieses Gesetzes sowie der hierzu erlassenen Rechtsverordnungen und der Einhaltung der durch die Genehmigung auferlegten Verpflichtungen (Bedingungen, Auflagen) der Aufsicht der Rettungsdienstbehörde.</w:t>
      </w:r>
    </w:p>
    <w:p>
      <w:r>
        <w:t xml:space="preserve">(2) Die Rettungsdienstbehörde kann sich über alle ihrer Zuständigkeit unterliegenden Einrichtungen und Maßnahmen des Unternehmers unterrichten. Der Unternehmer hat der Rettungsdienstbehörde alle wesentlichen Veränderungen ohne Aufforderung unverzüglich anzuzeigen.</w:t>
      </w:r>
    </w:p>
    <w:p>
      <w:r>
        <w:t xml:space="preserve">(3) Art. 14 des Gesundheitsdienstgesetzes bleibt unberührt.</w:t>
      </w:r>
    </w:p>
    <w:p>
      <w:r>
        <w:rPr>
          <w:color w:val="555555"/>
          <w:sz w:val="17"/>
        </w:rPr>
        <w:t xml:space="preserve">Zitiervorschlag: Art 50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