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44 BayRDG (Bayern) — Fortbildung</w:t>
      </w:r>
    </w:p>
    <w:p>
      <w:r>
        <w:rPr>
          <w:color w:val="555555"/>
          <w:sz w:val="18"/>
        </w:rPr>
        <w:t xml:space="preserve">Bayerisches Rettungsdienstgesetz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Tätigkeit im Rettungsdienst setzt voraus, dass das nichtärztliche Personal regelmäßig fortgebildet wird. Durchführende und Unternehmer sind verpflichtet, für eine regelmäßige angemessene Fortbildung zu sorgen. Die Fortbildung muss dem Personal die jeweils aktuellen medizinischen, organisatorischen und technischen Anforderungen vermitteln.</w:t>
      </w:r>
    </w:p>
    <w:p>
      <w:r>
        <w:t xml:space="preserve">(2) Die Mitwirkung von Ärzten im Rettungsdienst setzt voraus, dass diese regelmäßig an entsprechenden Fortbildungen teilnehmen. Mindestumfang und Inhalte der notwendigen Fortbildungen werden durch die Bayerische Landesärztekammer geregelt. Die Teilnahme an Fortbildungen ist bei Notärzten gegenüber der Kassenärztlichen Vereinigung Bayerns, bei Notärzten im Luftrettungsdienst, bei Ärzten, die in der Berg- und Höhlenrettung sowie der Wasserrettung mitwirken, gegenüber dem jeweiligen Durchführenden und bei Telenotärzten gegenüber dem jeweiligen Betreiber des Telenotarztstandortes nachzuweisen. Bei Verlegungsärzten ist der Nachweis gegenüber dem mit der Sicherstellung der Mitwirkung von Verlegungsärzten jeweils Beauftragten zu führen.</w:t>
      </w:r>
    </w:p>
    <w:p>
      <w:r>
        <w:t xml:space="preserve">(3) Die Tätigkeit als Leitende Notärztin oder Leitender Notarzt und Organisatorische Leiterin oder Organisatorischer Leiter setzt die regelmäßige Teilnahme an Fortbildungsveranstaltungen voraus. Mindestumfang und Inhalte der notwendigen Fortbildungen regelt für Leitende Notärztinnen und Leitende Notärzte die Bayerische Landesärztekammer in Abstimmung mit der obersten Rettungsdienstbehörde und für die Organisatorischen Leiterinnen und Organisatorischen Leiter die oberste Rettungsdienstbehörde. Der Nachweis der Fortbildung ist gegenüber dem ZRF, der die Bestellung vorgenommen hat, zu führen.</w:t>
      </w:r>
    </w:p>
    <w:p>
      <w:r>
        <w:rPr>
          <w:color w:val="555555"/>
          <w:sz w:val="17"/>
        </w:rPr>
        <w:t xml:space="preserve">Zitiervorschlag: Art 44 BayRDG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https://recht.nulegal.eu/gesetze/BayRDG/44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