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43 BayRDG (Bayern) — Besetzung, Personalqualifikation</w:t>
      </w:r>
    </w:p>
    <w:p>
      <w:r>
        <w:rPr>
          <w:color w:val="555555"/>
          <w:sz w:val="18"/>
        </w:rPr>
        <w:t xml:space="preserve">Bayerisches Rettungsdienstgesetz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Krankenkraftwagen sind mit mindestens zwei geeigneten Personen zu besetzen. Beim Krankentransport ist mindestens eine Rettungssanitäterin oder ein Rettungssanitäter zur Patientenbetreuung einzusetzen. Bei der Notfallrettung ist als Fahrerin oder Fahrer mindestens eine Rettungssanitäterin oder ein Rettungssanitäter, zur Patientenbetreuung eine Notfallsanitäterin oder ein Notfallsanitäter einzusetzen.</w:t>
      </w:r>
    </w:p>
    <w:p>
      <w:r>
        <w:t xml:space="preserve">(2) Notarzt-Einsatzfahrzeuge und Notarztwagen sind mit einer Notärztin oder einem Notarzt zu besetzen. Kommt ein Notarzt-Einsatzfahrzeug vom selben Standort aus wie die Notärztin oder der Notarzt zum Einsatz, erhält es zusätzlich eine Fahrerin oder einen Fahrer. Verlegungsarzt-Einsatzfahrzeuge sind stets mit einer Fahrerin oder einem Fahrer zu besetzen. Fahrerinnen und Fahrer von Notarzt- und Verlegungsarzt-Einsatzfahrzeugen müssen mindestens die Qualifikation als Rettungssanitäterin oder Rettungssanitäter haben.</w:t>
      </w:r>
    </w:p>
    <w:p>
      <w:r>
        <w:t xml:space="preserve">(3) Von den Anforderungen des Abs. 1 Satz 3 kann bei Fahrzeugen des Sonderbedarfs im Sinn des Art. 13 Abs. 2 Satz 5 Nr. 3 abgewichen werden.</w:t>
      </w:r>
    </w:p>
    <w:p>
      <w:r>
        <w:t xml:space="preserve">(4) In der Notfallrettung darf nur ärztliches Personal mitwirken, das über eine dem aktuellen Stand der Notfallmedizin entsprechende Notarztqualifikation oder Telenotarztqualifikation verfügt. Die Bayerische Landesärztekammer legt im Einzelnen die Anforderungen an die Notarztqualifikation fest und bestätigt deren Erwerb durch entsprechende Nachweise. Für Telenotärzte kann sie zusätzliche Anforderungen festlegen.</w:t>
      </w:r>
    </w:p>
    <w:p>
      <w:r>
        <w:t xml:space="preserve">(5) Beim arztbegleiteten Patiententransport mit Rettungswagen und Verlegungsrettungswagen muss der Patient durch einen Verlegungsarzt mit Notarztqualifikation oder einen Krankenhausarzt mit Notarztqualifikation oder einen Telenotarzt sowie einen Notfallsanitäter betreut werden. Die Bayerische Landesärztekammer kann allgemeine oder für besondere Beförderungsfälle zusätzliche Qualifikationsanforderungen festlegen. Im Intensivtransport mit Intensivtransportwagen darf nur ärztliches Personal mit Notarztqualifikation eingesetzt werden, das über eine dem aktuellen Stand der Medizin entsprechende Qualifikation verfügt, die besondere Kenntnisse, Fähigkeiten und Fertigkeiten hinsichtlich der Überwachung und Behandlung der in diesem Einsatzspektrum zu befördernden Patienten umfasst. Zur Patientenbetreuung durch nichtärztliches Personal müssen auf dem Intensivtransportwagen mindestens eine Notfallsanitäterin bzw. ein Notfallsanitäter oder eine Krankenpflegerin bzw. ein Krankenpfleger eingesetzt werden; Satz 3 gilt entsprechend.</w:t>
      </w:r>
    </w:p>
    <w:p>
      <w:r>
        <w:t xml:space="preserve">(6) Für die Patientenrückholung gelten die Abs. 1 bis 5 entsprechend mit der Maßgabe, dass für auf Krankenkraftwagen eingesetztes ärztliches Personal keine Notarztqualifikation erforderlich ist.</w:t>
      </w:r>
    </w:p>
    <w:p>
      <w:r>
        <w:t xml:space="preserve">(7) Luftfahrzeuge sind mit dem erforderlichen Luftfahrtpersonal sowie für ihr Einsatzspektrum jeweils mit geeignetem ärztlichem und nichtärztlichem medizinischen Personal zu besetzen. Abs. 1, 4 und 5 gelten entsprechend.</w:t>
      </w:r>
    </w:p>
    <w:p>
      <w:r>
        <w:t xml:space="preserve">(8) Bei der Berg- und Höhlenrettung sowie der Wasserrettung dürfen nur Einsatzkräfte eingesetzt werden, die über die für ihren Einsatzbereich notwendigen fachlichen Kenntnisse, Fähigkeiten und Fertigkeiten verfügen. Im Einsatzdienst mitwirkendes ärztliches Personal muss Notarztqualifikation haben.</w:t>
      </w:r>
    </w:p>
    <w:p>
      <w:r>
        <w:rPr>
          <w:color w:val="555555"/>
          <w:sz w:val="17"/>
        </w:rPr>
        <w:t xml:space="preserve">Zitiervorschlag: Art 43 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https://recht.nulegal.eu/gesetze/BayRDG/43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