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BayRDG (Bayern) — Anwendung der Verordnung über den Betrieb von Kraftfahrunternehmen im Personenverkehr</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Für den Betrieb des Unternehmers, die Ausrüstung und Beschaffenheit sowie die Untersuchungen der Fahrzeuge gelten die §§ 2 bis 8, 11, 16 bis 19, 30, 41 und 42 der Verordnung über den Betrieb von Kraftfahrunternehmen im Personenverkehr (BOKraft) entsprechend, soweit sie den Verkehr mit Mietwagen betreffen. Die Pflichten des Unternehmers nach § 3 BOKraft beziehen sich auch auf die Einhaltung der Vorschriften dieses Gesetzes, der auf Grund dieses Gesetzes erlassenen Rechtsverordnungen, sowie hierzu ergangener behördlicher Anordnungen. § 9 BOKraft findet mit der Maßgabe Anwendung, dass auf Krankenkraftwagen eingesetzte Mitarbeiter auch dann ihre Tätigkeit nicht ausüben dürfen, wenn sie oder Angehörige ihrer häuslichen Gemeinschaft Krankheitsverdächtiger, Ausscheider oder Ansteckungsverdächtiger im Sinn des § 2 des Infektionsschutzgesetzes sind.</w:t>
      </w:r>
    </w:p>
    <w:p>
      <w:r>
        <w:rPr>
          <w:color w:val="555555"/>
          <w:sz w:val="17"/>
        </w:rPr>
        <w:t xml:space="preserve">Zitiervorschlag: Art 42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