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38 BayRDG (Bayern) — Leistungspflicht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Unternehmer ist im Rahmen der ihm erteilten Genehmigung zum Krankentransport verpflichtet, wenn</w:t>
      </w:r>
    </w:p>
    <w:p>
      <w:r>
        <w:t xml:space="preserve">1. der Ausgangspunkt der Beförderung innerhalb des Einsatzbereichs des Krankenkraftwagens liegt,</w:t>
      </w:r>
    </w:p>
    <w:p>
      <w:r>
        <w:t xml:space="preserve">2. die Beförderung mit den zur Verfügung stehenden Krankenkraftwagen möglich ist und</w:t>
      </w:r>
    </w:p>
    <w:p>
      <w:r>
        <w:t xml:space="preserve">3. die Beförderung nicht durch Umstände verhindert wird, die der Unternehmer nicht zu vertreten hat.</w:t>
      </w:r>
    </w:p>
    <w:p>
      <w:r>
        <w:t xml:space="preserve">Die Verpflichtung beschränkt sich auf die Beförderung in die nächste für die weitere Versorgung geeignete und aufnahmebereite Einrichtung.</w:t>
      </w:r>
    </w:p>
    <w:p>
      <w:r>
        <w:t xml:space="preserve">(2) Abs. 1 findet keine Anwendung auf Unternehmer, die im öffentlichen Auftrag tätig sind.</w:t>
      </w:r>
    </w:p>
    <w:p>
      <w:r>
        <w:rPr>
          <w:color w:val="555555"/>
          <w:sz w:val="17"/>
        </w:rPr>
        <w:t xml:space="preserve">Zitiervorschlag: Art 38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https://recht.nulegal.eu/gesetze/BayRDG/38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