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BayRDG (Bayern) — Rücknahme und Widerruf der Genehmigung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Genehmigungsbehörde hat eine Genehmigung zurückzunehmen, wenn im Zeitpunkt ihrer Erteilung die Voraussetzungen des Art. 24 Abs. 2 nicht vorgelegen haben.</w:t>
      </w:r>
    </w:p>
    <w:p>
      <w:r>
        <w:t xml:space="preserve">(2) Die Genehmigungsbehörde hat die Genehmigung zu widerrufen, wenn die Voraussetzungen des Art. 24 Abs. 1 Nr. 1, 2 oder Abs. 2 oder der öffentlich-rechtliche Vertrag nach Art. 13 Abs. 5 nicht mehr vorliegen. Die erforderliche Zuverlässigkeit des Unternehmers ist insbesondere nicht mehr gegeben, wenn trotz schriftlicher Mahnung</w:t>
      </w:r>
    </w:p>
    <w:p>
      <w:r>
        <w:t xml:space="preserve">1. die im Interesse der öffentlichen Sicherheit erlassenen Vorschriften nicht befolgt werden oder</w:t>
      </w:r>
    </w:p>
    <w:p>
      <w:r>
        <w:t xml:space="preserve">2. den Verpflichtungen zuwidergehandelt wird, die dem Unternehmer nach diesem Gesetz oder auf Grund dieses Gesetzes erlassener Rechtsvorschriften obliegen.</w:t>
      </w:r>
    </w:p>
    <w:p>
      <w:r>
        <w:t xml:space="preserve">(3) Die Genehmigungsbehörde kann die Genehmigung widerrufen, wenn der Unternehmer die ihm gesetzlich obliegenden arbeitsrechtlichen, sozialrechtlichen oder die sich aus seinem Unternehmen ergebenden steuerrechtlichen Verpflichtungen wiederholt nicht erfüllt hat. Auf Verlangen der Genehmigungsbehörde hat der Unternehmer den Nachweis der Erfüllung dieser Verpflichtungen zu führen.</w:t>
      </w:r>
    </w:p>
    <w:p>
      <w:r>
        <w:t xml:space="preserve">(4) Im Übrigen bleiben die Bestimmungen des Bayerischen Verwaltungsverfahrensgesetzes (BayVwVfG) über den Widerruf und die Rücknahme von Verwaltungsakten unberührt.</w:t>
      </w:r>
    </w:p>
    <w:p>
      <w:r>
        <w:rPr>
          <w:color w:val="555555"/>
          <w:sz w:val="17"/>
        </w:rPr>
        <w:t xml:space="preserve">Zitiervorschlag: Art 29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