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BayRDG (Bayern) — Erteilung der Genehmigung, Nebenbestimmungen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wird für höchstens sechs Jahre erteilt. Sie darf nicht vorläufig oder mit einem Vorbehalt des Widerrufs erteilt werden.</w:t>
      </w:r>
    </w:p>
    <w:p>
      <w:r>
        <w:t xml:space="preserve">(2) Die Genehmigung kann unter Bedingungen und Auflagen erteilt werden.</w:t>
      </w:r>
    </w:p>
    <w:p>
      <w:r>
        <w:t xml:space="preserve">(3) Die Genehmigung kann zur Verhütung oder Unterbindung von Verstößen gegen dieses Gesetz oder die auf Grund dieses Gesetzes erlassenen Rechtsvorschriften auch nachträglich mit weiteren Bedingungen und Auflagen versehen werden.</w:t>
      </w:r>
    </w:p>
    <w:p>
      <w:r>
        <w:t xml:space="preserve">(4) Die Entscheidung über den Genehmigungsantrag und die Änderung der Genehmigung bedürfen der Schriftform, die nicht durch die elektronische Form ersetzt werden kann. Sie sind dem Antragsteller zuzustellen.</w:t>
      </w:r>
    </w:p>
    <w:p>
      <w:r>
        <w:t xml:space="preserve">(5) Die Genehmigungsbehörde hat die zuständige Berufsgenossenschaft von der Erteilung der Genehmigung zu unterrichten.</w:t>
      </w:r>
    </w:p>
    <w:p>
      <w:r>
        <w:rPr>
          <w:color w:val="555555"/>
          <w:sz w:val="17"/>
        </w:rPr>
        <w:t xml:space="preserve">Zitiervorschlag: Art 27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