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BayRDG (Bayern) — Durchführung von Genehmigungsverfahren</w:t>
      </w:r>
    </w:p>
    <w:p>
      <w:r>
        <w:rPr>
          <w:color w:val="555555"/>
          <w:sz w:val="18"/>
        </w:rPr>
        <w:t xml:space="preserve">Bayerisches Rettungsdienstgesetz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Genehmigungsverfahren sind durchzuführen für die Ersterteilung von Genehmigungen, für die Neuerteilung abgelaufener Genehmigungen, für den Austausch von Krankenkraftwagen und für wesentliche Änderungen des Betriebs.</w:t>
      </w:r>
    </w:p>
    <w:p>
      <w:r>
        <w:t xml:space="preserve">(2) Der kurzzeitige, vorübergehende Austausch von Krankenkraftwagen bleibt für drei Monate, gerechnet ab dem Ausfall des genehmigten Krankenkraftwagens, genehmigungsfrei. Der Austausch von Krankenkraftwagen ist der Genehmigungsbehörde anzuzeigen.</w:t>
      </w:r>
    </w:p>
    <w:p>
      <w:r>
        <w:rPr>
          <w:color w:val="555555"/>
          <w:sz w:val="17"/>
        </w:rPr>
        <w:t xml:space="preserve">Zitiervorschlag: Art 23 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https://recht.nulegal.eu/gesetze/BayRDG/23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