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BayPsychKHG (Bayern) — Ziele und Grundsätze der Unterbringung</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Ziel der Unterbringung ist es einerseits, die untergebrachte Person zu heilen oder ihren Zustand soweit zu stabilisieren, dass von ihr keine Gefährdungen nach Art. 5 Abs. 1 Satz 1 mehr ausgehen, sowie andererseits die von ihr ausgehenden Gefahren abzuwehren.</w:t>
      </w:r>
    </w:p>
    <w:p>
      <w:r>
        <w:t xml:space="preserve">(2) Bei allen Maßnahmen auf Grund dieses Gesetzes soll auf das Alter, das Geschlecht, die ethnische Herkunft, den Gesundheitszustand, das Vorliegen einer Behinderung und die Lebensumstände der untergebrachten Person Rücksicht genommen werden.</w:t>
      </w:r>
    </w:p>
    <w:p>
      <w:r>
        <w:rPr>
          <w:color w:val="555555"/>
          <w:sz w:val="17"/>
        </w:rPr>
        <w:t xml:space="preserve">Zitiervorschlag: Art 6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