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BayPsychKHG (Bayern) — Voraussetzungen der Unterbringung, Verhältnismäßigkeitsgrundsatz</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auf Grund einer psychischen Störung, insbesondere Erkrankung, sich selbst, Rechtsgüter anderer oder das Allgemeinwohl erheblich gefährdet, kann ohne oder gegen seinen Willen untergebracht werden, es sei denn seine Einsichts- und Steuerungsfähigkeit ist nicht erheblich beeinträchtigt. Für eine Unterbringung nach diesem Gesetz anstelle einer Unterbringung nach den Vorschriften des Bürgerlichen Gesetzbuches (BGB) kann in Fällen der Selbstgefährdung insbesondere sprechen, dass die Unterbringung voraussichtlich nicht länger als sechs Wochen dauern wird und keine Betreuung und keine ausreichende Vorsorgevollmacht besteht. Bei Kindern und Jugendlichen ist eine Unterbringung nach § 1631b BGB vorrangig.</w:t>
      </w:r>
    </w:p>
    <w:p>
      <w:r>
        <w:t xml:space="preserve">(2) Die Unterbringung darf nur angeordnet werden, wenn die Gefährdung nicht durch weniger einschneidende Mittel abgewendet werden kann, insbesondere auch nicht durch die Hinzuziehung eines Krisendienstes und durch Hinzuziehung der oder des gesetzlichen Vertreters. Sie darf nicht zu einem Nachteil führen, der zu dem angestrebten Erfolg erkennbar außer Verhältnis steht. Sie ist nur solange zulässig, bis ihr Zweck erreicht ist oder nicht mehr erreicht werden kann. Die Sätze 1 bis 3 gelten entsprechend für Maßnahmen während der Unterbringung. Von mehreren möglichen und geeigneten Maßnahmen ist diejenige zu wählen, die die untergebrachte Person voraussichtlich am wenigsten beeinträchtigt.</w:t>
      </w:r>
    </w:p>
    <w:p>
      <w:r>
        <w:t xml:space="preserve">(3) Die Unterbringung kann nur vollzogen werden, wenn keine Maßnahmen nach den §§ 81, 126a der Strafprozessordnung oder den §§ 63, 64 und 67a des Strafgesetzbuches, gegebenenfalls in Verbindung mit § 7 Abs. 1 des Jugendgerichtsgesetzes, getroffen sind. Ist jemand auf Grund dieses Gesetzes untergebracht und werden Maßnahmen auf Grund der in Satz 1 genannten Bestimmungen getroffen, ist die Unterbringungsanordnung nach diesem Gesetz außer Vollzug zu setzen. Sie kann aufgehoben werden, wenn nach den Umständen nicht zu erwarten ist, dass die Unterbringungsanordnung später wieder vollzogen werden muss.</w:t>
      </w:r>
    </w:p>
    <w:p>
      <w:r>
        <w:rPr>
          <w:color w:val="555555"/>
          <w:sz w:val="17"/>
        </w:rPr>
        <w:t xml:space="preserve">Zitiervorschlag: Art 5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