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BayPsychKHG (Bayern) — Inkrafttreten, Außerkrafttreten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2018 in Kraft. Abweichend von Satz 1 treten in Kraft:</w:t>
      </w:r>
    </w:p>
    <w:p>
      <w:r>
        <w:t xml:space="preserve">1. Art. 5 bis 38, 38b Abs. 1 Nr. 1 Buchst. a bis e, h bis j, Nr. 2 bis 19, 21, 23 Buchst. a, c und d, Nr. 24 und 25, 26 Buchst. a, Nr. 27 bis 29, Abs. 2 und Abs. 3 am 1. Januar 2019,</w:t>
      </w:r>
    </w:p>
    <w:p>
      <w:r>
        <w:t xml:space="preserve">2. Art. 38b Abs. 1 Nr. 1 Buchst. f und g, Nr. 20, 22, 23 Buchst. b und Nr. 26 Buchst. b am 1. Januar 2021,</w:t>
      </w:r>
    </w:p>
    <w:p>
      <w:r>
        <w:t xml:space="preserve">3. Art. 38a am 1. Juli 2021.</w:t>
      </w:r>
    </w:p>
    <w:p>
      <w:r>
        <w:rPr>
          <w:color w:val="555555"/>
          <w:sz w:val="17"/>
        </w:rPr>
        <w:t xml:space="preserve">Zitiervorschlag: Art 39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