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BayPsychKHG (Bayern) — Arbeits- und Beschäftigungstherapie, therapiefreie Zeit</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Einrichtung soll der untergebrachten Person Arbeits- und Beschäftigungstherapie anbieten und sie dazu anhalten, in Abhängigkeit von deren Gesundheitszustand daran teilzunehmen.</w:t>
      </w:r>
    </w:p>
    <w:p>
      <w:r>
        <w:t xml:space="preserve">(2) Die untergebrachte Person erhält Gelegenheit und Anregungen, ihre therapiefreie Zeit in einer für sie sinnvollen Weise zu gestalten. Der untergebrachten Person ist täglich mindestens eine Stunde Aufenthalt im Freien zu ermöglichen.</w:t>
      </w:r>
    </w:p>
    <w:p>
      <w:r>
        <w:rPr>
          <w:color w:val="555555"/>
          <w:sz w:val="17"/>
        </w:rPr>
        <w:t xml:space="preserve">Zitiervorschlag: Art 22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