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BayPsychKHG (Bayern) — Behandlungsplan</w:t>
      </w:r>
    </w:p>
    <w:p>
      <w:r>
        <w:rPr>
          <w:color w:val="555555"/>
          <w:sz w:val="18"/>
        </w:rPr>
        <w:t xml:space="preserve">Bayerisches Psychisch-Kranken-Hilfe-Gesetz BayRS 2128-2-A/G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untergebrachte Person wird unverzüglich ein Behandlungsplan aufgestellt. Der Plan ist entsprechend der Entwicklung der untergebrachten Person anzupassen. In den Behandlungsplan sind Maßnahmen zur Vorbereitung der Entlassung aufzunehmen. In die Aufstellung eines Behandlungsplans für Kinder und Jugendliche sind die Sorgeberechtigten nach Möglichkeit miteinzubeziehen.</w:t>
      </w:r>
    </w:p>
    <w:p>
      <w:r>
        <w:t xml:space="preserve">(2) Der Behandlungsplan sowie wesentliche Änderungen sind in geeigneter Weise mit der untergebrachten Person zu erörtern. Hat die untergebrachte Person einen Vertreter oder einen Verfahrenspfleger, erhält dieser Kenntnis über die erfolgte Erörterung.</w:t>
      </w:r>
    </w:p>
    <w:p>
      <w:r>
        <w:rPr>
          <w:color w:val="555555"/>
          <w:sz w:val="17"/>
        </w:rPr>
        <w:t xml:space="preserve">Zitiervorschlag: Art 19 BayPsychKHG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https://recht.nulegal.eu/gesetze/BayPsychKHG/19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