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BayPsychKHG (Bayern) — Vollzug der Unterbringung</w:t>
      </w:r>
    </w:p>
    <w:p>
      <w:r>
        <w:rPr>
          <w:color w:val="555555"/>
          <w:sz w:val="18"/>
        </w:rPr>
        <w:t xml:space="preserve">Bayerisches Psychisch-Kranken-Hilfe-Gesetz BayRS 2128-2-A/G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Vollzug der Unterbringung obliegt der Kreisverwaltungsbehörde.</w:t>
      </w:r>
    </w:p>
    <w:p>
      <w:r>
        <w:rPr>
          <w:color w:val="555555"/>
          <w:sz w:val="17"/>
        </w:rPr>
        <w:t xml:space="preserve">Zitiervorschlag: Art 17 BayPsychKHG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https://recht.nulegal.eu/gesetze/BayPsychKHG/17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