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BayPrG (Bayern) — Impressum bei Druckwerken</w:t>
      </w:r>
    </w:p>
    <w:p>
      <w:r>
        <w:rPr>
          <w:color w:val="555555"/>
          <w:sz w:val="18"/>
        </w:rPr>
        <w:t xml:space="preserve">Bayerisches Pressegesetz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 jedem in Bayern erscheinenden Druckwerk muss der Drucker und Verleger, beim Selbstverlag der Verfasser oder Herausgeber genannt sein. Anzugeben sind Name oder Firma und Anschrift.</w:t>
      </w:r>
    </w:p>
    <w:p>
      <w:r>
        <w:t xml:space="preserve">(2) Ausgenommen sind Druckwerke, die ausschließlich Zwecken des Gewerbes oder Verkehrs oder des häuslichen oder geselligen Lebens dienen, wie Formblätter, Preislisten, Gebrauchsanweisungen, Fahrkarten, Familienanzeigen und dergleichen.</w:t>
      </w:r>
    </w:p>
    <w:p>
      <w:r>
        <w:t xml:space="preserve">(3) Ausgenommen sind weiter Stimmzettel für Wahlen, sofern sie lediglich Zweck, Zeit und Ort der Wahl und die Namen der Parteien und Wahlbewerber enthalten.</w:t>
      </w:r>
    </w:p>
    <w:p>
      <w:r>
        <w:rPr>
          <w:color w:val="555555"/>
          <w:sz w:val="17"/>
        </w:rPr>
        <w:t xml:space="preserve">Zitiervorschlag: Art 7 BayPrG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https://recht.nulegal.eu/gesetze/BayPrG/7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