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BayPrG (Bayern) — Verantwortlicher Redakteur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jeder Zeitung muss mindestens ein verantwortlicher Redakteur bestellt werden.</w:t>
      </w:r>
    </w:p>
    <w:p>
      <w:r>
        <w:t xml:space="preserve">(2) Als verantwortlicher Redakteur darf nicht tätig sein und beschäftigt werden, wer</w:t>
      </w:r>
    </w:p>
    <w:p>
      <w:r>
        <w:t xml:space="preserve">1. seinen gewöhnlichen Aufenthalt nicht in einem Mitgliedstaat der Europäischen Union oder in einem anderen Vertragsstaat des Abkommens über den Europäischen Wirtschaftsraum hat.</w:t>
      </w:r>
    </w:p>
    <w:p>
      <w:r>
        <w:t xml:space="preserve">2. infolge Richterspruchs die Fähigkeit zur Bekleidung öffentlicher Ämter, die Fähigkeit, Rechte aus öffentlichen Wahlen zu erlangen, oder das Recht, in öffentlichen Angelegenheiten zu wählen oder zu stimmen, nicht besitzt,</w:t>
      </w:r>
    </w:p>
    <w:p>
      <w:r>
        <w:t xml:space="preserve">3. nicht unbeschränkt geschäftsfähig ist.</w:t>
      </w:r>
    </w:p>
    <w:p>
      <w:r>
        <w:t xml:space="preserve">(3) Wer nur mit besonderer Zustimmung oder Genehmigung strafrechtlich verfolgt werden kann, darf nicht verantwortlicher Redakteur für den politischen Teil einer Zeitung oder Zeitschrift sein.</w:t>
      </w:r>
    </w:p>
    <w:p>
      <w:r>
        <w:t xml:space="preserve">(4) Absatz 2 Nr. 3 gilt nicht für Druckwerke, die von Jugendlichen für Jugendliche herausgegeben werden.</w:t>
      </w:r>
    </w:p>
    <w:p>
      <w:r>
        <w:rPr>
          <w:color w:val="555555"/>
          <w:sz w:val="17"/>
        </w:rPr>
        <w:t xml:space="preserve">Zitiervorschlag: Art 5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