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BayPrG (Bayern) — Aufgaben der Presse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Presse dient dem demokratischen Gedanken.</w:t>
      </w:r>
    </w:p>
    <w:p>
      <w:r>
        <w:t xml:space="preserve">(2) Sie hat in Erfüllung dieser Aufgabe die Pflicht zu wahrheitsgemäßer Berichterstattung und das Recht, ungehindert Nachrichten und Informationen einzuholen, zu berichten und Kritik zu üben.</w:t>
      </w:r>
    </w:p>
    <w:p>
      <w:r>
        <w:t xml:space="preserve">(3) Im Rahmen dieser Rechte und Pflichten nimmt sie in Angelegenheiten des öffentlichen Lebens berechtigte Interessen im Sinn des § 193 des Strafgesetzbuchs (StGB) wahr.</w:t>
      </w:r>
    </w:p>
    <w:p>
      <w:r>
        <w:rPr>
          <w:color w:val="555555"/>
          <w:sz w:val="17"/>
        </w:rPr>
        <w:t xml:space="preserve">Zitiervorschlag: Art 3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