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BayPrG (Bayern) — Durchführungsbestimmungen; Inkrafttreten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Verwaltungsvorschriften, die nur den Geschäftsbereich eines Staatsministeriums betreffen, werden von diesem im Einvernehmen mit dem Staatsministerium des Innern, für Sport und Integration erlassen.</w:t>
      </w:r>
    </w:p>
    <w:p>
      <w:r>
        <w:t xml:space="preserve">(2) Dieses Gesetz ist dringlich. Es tritt am 1. Juli 1949 in Kraft.</w:t>
      </w:r>
    </w:p>
    <w:p>
      <w:r>
        <w:t xml:space="preserve">[Amtl. Anm.:] Diese Vorschrift betrifft das In-Kraft-Treten des Gesetzes in der ursprünglichen Fassung vom 3. Oktober 1949 (GVBl S. 243).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19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