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BayPrG (Bayern) — Umfang der Beschlagnahme</w:t>
      </w:r>
    </w:p>
    <w:p>
      <w:r>
        <w:rPr>
          <w:color w:val="555555"/>
          <w:sz w:val="18"/>
        </w:rPr>
        <w:t xml:space="preserve">Bayerisches Pressegesetz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Beschlagnahme eines Druckwerks umfasst alle Stücke, die sich im Besitz des Verlegers, Herausgebers, Redakteurs, Verfassers, Druckers oder Händlers befinden sowie die öffentlich ausgelegten oder öffentlich angebotenen Stücke.</w:t>
      </w:r>
    </w:p>
    <w:p>
      <w:r>
        <w:t xml:space="preserve">(2) Die Beschlagnahme eines Druckwerks kann auf das zu seiner Herstellung verwandte Material wie etwa Drucksatz, Druckform, Platten oder Klischees erstreckt werden.</w:t>
      </w:r>
    </w:p>
    <w:p>
      <w:r>
        <w:t xml:space="preserve">(3) Trennbare Teile des Druckwerks, welche nichts Strafbares enthalten, sind von der Beschlagnahme auszuschließen.</w:t>
      </w:r>
    </w:p>
    <w:p>
      <w:r>
        <w:rPr>
          <w:color w:val="555555"/>
          <w:sz w:val="17"/>
        </w:rPr>
        <w:t xml:space="preserve">Zitiervorschlag: Art 17 BayPrG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https://recht.nulegal.eu/gesetze/BayPrG/17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