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BayPrG (Bayern) — Verjährung bei Straftaten und Ordnungswidrigkeiten</w:t>
      </w:r>
    </w:p>
    <w:p>
      <w:r>
        <w:rPr>
          <w:color w:val="555555"/>
          <w:sz w:val="18"/>
        </w:rPr>
        <w:t xml:space="preserve">Bayerisches Pressegesetz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Verfolgung der in diesem Gesetz mit Strafe bedrohten Handlungen und derjenigen Taten, welche durch Verbreitung von Druckwerken strafbaren Inhalts begangen werden, verjährt in sechs Monaten. Dies gilt nicht für Taten</w:t>
      </w:r>
    </w:p>
    <w:p>
      <w:r>
        <w:t xml:space="preserve">1. nach §§ 130, 131, §§ 184a und 184b StGB,</w:t>
      </w:r>
    </w:p>
    <w:p>
      <w:r>
        <w:t xml:space="preserve">2. nach §§ 86, 86a, § 129a Abs. 5 StGB und § 20 des Vereinsgesetzes, die mittels eines nichtperiodischen Druckwerks begangen werden und</w:t>
      </w:r>
    </w:p>
    <w:p>
      <w:r>
        <w:t xml:space="preserve">3. nach § 264a StGB, § 38 des Wertpapierhandelsgesetzes und § 399 des Aktiengesetzes.</w:t>
      </w:r>
    </w:p>
    <w:p>
      <w:r>
        <w:t xml:space="preserve">(2) Die Verfolgung der in Art. 13 genannten Ordnungswidrigkeiten verjährt in drei Monaten.</w:t>
      </w:r>
    </w:p>
    <w:p>
      <w:r>
        <w:t xml:space="preserve">(3) Der Lauf der Frist beginnt mit dem Erscheinen des Druckwerks. Mit dem Erscheinen einer neuen Auflage des Druckwerks beginnt die Frist von neuem.</w:t>
      </w:r>
    </w:p>
    <w:p>
      <w:r>
        <w:rPr>
          <w:color w:val="555555"/>
          <w:sz w:val="17"/>
        </w:rPr>
        <w:t xml:space="preserve">Zitiervorschlag: Art 15 BayPrG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https://recht.nulegal.eu/gesetze/BayPrG/15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