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BayPrG (Bayern) — Strafvorschriften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Freiheitsstrafe bis zu einem Jahr oder mit Geldstrafe wird bestraft,</w:t>
      </w:r>
    </w:p>
    <w:p>
      <w:r>
        <w:t xml:space="preserve">1. wer als Verleger eine Person zum verantwortlichen Redakteur bestellt, die nicht den Bestimmungen des Art. 5 Abs. 2 entspricht;</w:t>
      </w:r>
    </w:p>
    <w:p>
      <w:r>
        <w:t xml:space="preserve">2. wer als verantwortlicher Redakteur zeichnet, obwohl ihm das nach Art. 5 Abs. 2 und 3 untersagt ist;</w:t>
      </w:r>
    </w:p>
    <w:p>
      <w:r>
        <w:t xml:space="preserve">3. wer ein beschlagnahmtes Druckwerk in Kenntnis der Beschlagnahme verbreitet;</w:t>
      </w:r>
    </w:p>
    <w:p>
      <w:r>
        <w:t xml:space="preserve">4. wer in Kenntnis des strafbaren Inhalts einer Druckschrift den Vorschriften der Art. 7 und 8 zuwiderhandelt;</w:t>
      </w:r>
    </w:p>
    <w:p>
      <w:r>
        <w:t xml:space="preserve">5. wer über die Inhaber- und Beteiligungsverhältnisse (Art. 8 Abs. 3) wissentlich falsche Angaben macht.</w:t>
      </w:r>
    </w:p>
    <w:p>
      <w:r>
        <w:rPr>
          <w:color w:val="555555"/>
          <w:sz w:val="17"/>
        </w:rPr>
        <w:t xml:space="preserve">Zitiervorschlag: Art 14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