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BayPrG (Bayern) — Strafrechtliche Verantwortlichkeit</w:t>
      </w:r>
    </w:p>
    <w:p>
      <w:r>
        <w:rPr>
          <w:color w:val="555555"/>
          <w:sz w:val="18"/>
        </w:rPr>
        <w:t xml:space="preserve">Bayerisches Pressegesetz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Verantwortlichkeit für strafbare Handlungen, die mittels eines Druckwerks begangen werden, bestimmt sich nach den allgemeinen Strafgesetzen.</w:t>
      </w:r>
    </w:p>
    <w:p>
      <w:r>
        <w:t xml:space="preserve">(2) Wer als verantwortlicher Redakteur, Verleger, Drucker oder Verbreiter am Erscheinen eines Druckwerks strafbaren Inhalts mitgewirkt hat, wird, wenn er nicht schon nach Absatz 1 als Täter oder Teilnehmer zu bestrafen ist, wegen fahrlässiger Veröffentlichung mit Freiheitsstrafe bis zu einem Jahr oder mit Geldstrafe bestraft, sofern er nicht die pflichtgemäße Sorgfalt angewandt hat. Die Bestrafung des Vormanns schließt die des Nachmanns aus.</w:t>
      </w:r>
    </w:p>
    <w:p>
      <w:r>
        <w:rPr>
          <w:color w:val="555555"/>
          <w:sz w:val="17"/>
        </w:rPr>
        <w:t xml:space="preserve">Zitiervorschlag: Art 12 BayPrG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https://recht.nulegal.eu/gesetze/BayPrG/12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