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BayPrG (Bayern) — Datenschutz</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Unternehmen der Presse personenbezogene Daten zu journalistischen Zwecken verarbeiten, ist es den hiermit befassten Personen untersagt, diese Daten zu anderen Zwecken zu verarbeiten (Datengeheimnis). Diese Personen sind bei Aufnahme ihrer Tätigkeit auf das Datengeheimnis zu verpflichten. Das Datengeheimnis besteht nach Beendigung ihrer Tätigkeit fort.</w:t>
      </w:r>
    </w:p>
    <w:p>
      <w:r>
        <w:t xml:space="preserve">(2) Die Prüfung von Beschwerden nach Art. 77 der Verordnung (EU) 2016/679 (Datenschutz-Grundverordnung) obliegt den Einrichtungen der freiwilligen Selbstkontrolle.</w:t>
      </w:r>
    </w:p>
    <w:p>
      <w:r>
        <w:rPr>
          <w:color w:val="555555"/>
          <w:sz w:val="17"/>
        </w:rPr>
        <w:t xml:space="preserve">Zitiervorschlag: Art 11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