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BayPrG (Bayern) — Gegendarstellung</w:t>
      </w:r>
    </w:p>
    <w:p>
      <w:r>
        <w:rPr>
          <w:color w:val="555555"/>
          <w:sz w:val="18"/>
        </w:rPr>
        <w:t xml:space="preserve">Bayerisches Pressegesetz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verantwortliche Redakteur und der Verleger einer Zeitung oder Zeitschrift sind verpflichtet, zu Tatsachen, die darin mitgeteilt wurden, auf Verlangen einer unmittelbar betroffenen Person oder Behörde deren Gegendarstellung abzudrucken. Sie muss die beanstandeten Stellen bezeichnen, sich auf tatsächliche Angaben beschränken und vom Einsender unterzeichnet sein. Ergeben sich begründete Zweifel an der Echtheit der Unterschrift einer Gegendarstellung, so kann die Beglaubigung der Unterschrift verlangt werden.</w:t>
      </w:r>
    </w:p>
    <w:p>
      <w:r>
        <w:t xml:space="preserve">(2) Der Abdruck muss unverzüglich, und zwar in demselben Teil des Druckwerks und mit derselben Schrift wie der Abdruck des beanstandeten Textes ohne Einschaltungen und Weglassungen erfolgen. Der Abdruck darf nur mit der Begründung verweigert werden, dass die Gegendarstellung einen strafbaren Inhalt habe. Die Gegendarstellung soll den Umfang des beanstandeten Textes nicht wesentlich überschreiten. Die Aufnahme erfolgt insoweit kostenfrei.</w:t>
      </w:r>
    </w:p>
    <w:p>
      <w:r>
        <w:t xml:space="preserve">(3) Der Anspruch auf Aufnahme der Gegendarstellung kann auch im Zivilrechtsweg verfolgt werden.</w:t>
      </w:r>
    </w:p>
    <w:p>
      <w:r>
        <w:rPr>
          <w:color w:val="555555"/>
          <w:sz w:val="17"/>
        </w:rPr>
        <w:t xml:space="preserve">Zitiervorschlag: Art 10 BayPrG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https://recht.nulegal.eu/gesetze/BayPrG/10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