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BayPrG (Bayern) — Recht der freien Meinungsäußerung und Pressefreiheit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Recht der freien Meinungsäußerung und die Pressefreiheit werden durch die Art. 110, 111 und 112 der Verfassung gewährleistet.</w:t>
      </w:r>
    </w:p>
    <w:p>
      <w:r>
        <w:t xml:space="preserve">(2) Sondermaßnahmen jeder Art, die die Pressefreiheit beeinträchtigen, sind unstatthaft.</w:t>
      </w:r>
    </w:p>
    <w:p>
      <w:r>
        <w:t xml:space="preserve">(3) Berufsorganisationen der Presse mit Zwangsmitgliedschaft und staatlichen Machtbefugnissen sowie eine Standesgerichtsbarkeit der Presse sind nicht zulässig.</w:t>
      </w:r>
    </w:p>
    <w:p>
      <w:r>
        <w:rPr>
          <w:color w:val="555555"/>
          <w:sz w:val="17"/>
        </w:rPr>
        <w:t xml:space="preserve">Zitiervorschlag: Art 1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