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BayPistenKennzV (Bayern) — Sonstige Abfahrten</w:t>
      </w:r>
    </w:p>
    <w:p>
      <w:r>
        <w:rPr>
          <w:color w:val="555555"/>
          <w:sz w:val="18"/>
        </w:rPr>
        <w:t xml:space="preserve">Verordnung über die Kennzeichnung der Skiabfahrten, Skiwanderwege und Rodelbahnen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Wird eine Abfahrt, ein Skiwanderweg oder eine Rodelbahn, die nicht zur Hauptabfahrt, zum Hauptskiwanderweg oder zur Hauptrodelbahn erklärt wurde, gekennzeichnet, so sind dafür Schilder nach den Anlagen 1 und 2 zu verwenden. An Stelle der Worte „Hauptabfahrt“ oder „Hauptrodelbahn“ treten die Worte „Skiabfahrt“ oder „Rodelbahn“. Die §§ 1 bis 4 sind entsprechend anzuwenden.</w:t>
      </w:r>
    </w:p>
    <w:p>
      <w:r>
        <w:rPr>
          <w:color w:val="555555"/>
          <w:sz w:val="17"/>
        </w:rPr>
        <w:t xml:space="preserve">Zitiervorschlag: § 9 BayPistenKennzV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https://recht.nulegal.eu/gesetze/BayPistenKennzV/9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BayPistenKennzV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