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BayPflSchSachkV (Bayern)</w:t>
      </w:r>
    </w:p>
    <w:p>
      <w:r>
        <w:rPr>
          <w:color w:val="555555"/>
          <w:sz w:val="18"/>
        </w:rPr>
        <w:t xml:space="preserve">Pflanzenschutz-Sachkundeprüfungsverordnung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10 Abs. 3 Satz 3 und § 22 Abs. 3 Satz 2 in Verbindung mit § 10 Abs. 3 Satz 3 des Pflanzenschutzgesetzes vom 15. September 1986 (BGBl I S. 1505), § 4 der Pflanzenschutz-Sachkundeverordnung vom 28. Juli 1987 (BGBl I S. 1752) und § 1 Nr. 1 Buchst. f der Zuständigkeitsübertragungsverordnung Landwirtschaft vom 30. November 1987 (GVBl S. 442, BayRS 7801-3-E) erläßt das Bayerische Staatsministerium für Ernährung, Landwirtschaft und Forsten im Einvernehmen mit dem Bayerischen Staatsministerium für Wirtschaft und Verkehr folgende Verordnung:</w:t>
      </w:r>
    </w:p>
    <w:p>
      <w:r>
        <w:rPr>
          <w:color w:val="555555"/>
          <w:sz w:val="17"/>
        </w:rPr>
        <w:t xml:space="preserve">Zitiervorschlag: Eingangsformel BayPflSchSachkV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https://recht.nulegal.eu/gesetze/BayPflSchSachkV/eingangsformel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